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9736B3" w14:textId="77777777" w:rsidR="0066373E" w:rsidRPr="00C74748" w:rsidRDefault="0066373E" w:rsidP="00C74748">
      <w:pPr>
        <w:pStyle w:val="Heading1"/>
        <w:rPr>
          <w:rFonts w:ascii="Times New Roman" w:hAnsi="Times New Roman" w:cs="Times New Roman"/>
        </w:rPr>
      </w:pPr>
      <w:bookmarkStart w:id="0" w:name="_GoBack"/>
      <w:r w:rsidRPr="00C74748">
        <w:rPr>
          <w:rFonts w:ascii="Times New Roman" w:hAnsi="Times New Roman" w:cs="Times New Roman"/>
        </w:rPr>
        <w:t>On Freedom of Expression and Campus Speech Codes</w:t>
      </w:r>
    </w:p>
    <w:bookmarkEnd w:id="0"/>
    <w:p w14:paraId="191A5270"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https://www.aaup.org/report/freedom-expression-and-campus-speech-codes</w:t>
      </w:r>
    </w:p>
    <w:p w14:paraId="21D94B43"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The statement that follows was approved by the Association’s Committee A on Academic Freedom and Tenure in June 1992 and adopted by the Association’s Council in November 1994.</w:t>
      </w:r>
    </w:p>
    <w:p w14:paraId="28290223"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Freedom of thought and expression is essential to any institution of higher learning. Universities and colleges exist not only to transmit knowledge. Equally, they interpret, explore, and expand that knowledge by testing the old and proposing the new. This mission guides learning outside the classroom quite as much as in class, and often inspires vigorous debate on those social, economic, and political issues that arouse the strongest passions. In the process, views will be expressed that may seem to many wrong, distasteful, or offensive. Such is the nature of freedom to sift and winnow ideas.</w:t>
      </w:r>
    </w:p>
    <w:p w14:paraId="4843C66A" w14:textId="77777777" w:rsidR="0066373E" w:rsidRPr="0066373E" w:rsidRDefault="0066373E" w:rsidP="0066373E">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8"/>
          <w:szCs w:val="28"/>
        </w:rPr>
      </w:pPr>
      <w:r w:rsidRPr="0066373E">
        <w:rPr>
          <w:rFonts w:ascii="Times New Roman" w:hAnsi="Times New Roman" w:cs="Times New Roman"/>
          <w:sz w:val="28"/>
          <w:szCs w:val="28"/>
        </w:rPr>
        <w:t>On a campus that is free and open, no idea can be banned or forbidden. No viewpoint or message may be deemed so hateful or disturbing that it may not be expressed.</w:t>
      </w:r>
    </w:p>
    <w:p w14:paraId="6B1FB835"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Universities and colleges are also communities, often of a residential character. Most campuses have recently sought to become more diverse, and more reflective of the larger community,</w:t>
      </w:r>
      <w:r>
        <w:rPr>
          <w:rFonts w:ascii="Times New Roman" w:hAnsi="Times New Roman" w:cs="Times New Roman"/>
          <w:sz w:val="28"/>
          <w:szCs w:val="28"/>
        </w:rPr>
        <w:t xml:space="preserve"> </w:t>
      </w:r>
      <w:r w:rsidRPr="0066373E">
        <w:rPr>
          <w:rFonts w:ascii="Times New Roman" w:hAnsi="Times New Roman" w:cs="Times New Roman"/>
          <w:sz w:val="28"/>
          <w:szCs w:val="28"/>
        </w:rPr>
        <w:t>by attracting students, faculty, and staff from groups that were historically excluded or underrepresented. Such gains as they have made are recent, modest, and tenuous. The campus climate can profoundly affect an institution’s continued diversity. Hostility or intolerance to persons who differ from the majority (especially if seemingly condoned by the institution) may undermine the confidence of new members of the community. Civility is always fragile and can easily be destroyed.</w:t>
      </w:r>
    </w:p>
    <w:p w14:paraId="3AEAB214"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In response to verbal assaults and use of hateful language, some campuses have felt it necessary to forbid the expression of racist, sexist, homophobic, or ethnically demeaning speech, along with conduct or behavior that harasses. Several reasons are offered in support of banning such expression. Individuals and groups that have been victims of such expression feel an understandable outrage. They claim that the academic progress of minority and majority alike may suffer if fears, tensions, and conflicts spawned by slurs and insults create an environment inimical to learning.</w:t>
      </w:r>
    </w:p>
    <w:p w14:paraId="58BE8799"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 xml:space="preserve">These arguments, grounded in the need to foster an atmosphere respectful of and welcoming to all persons, strike a deeply responsive chord in the academy. But, </w:t>
      </w:r>
      <w:r w:rsidRPr="0066373E">
        <w:rPr>
          <w:rFonts w:ascii="Times New Roman" w:hAnsi="Times New Roman" w:cs="Times New Roman"/>
          <w:sz w:val="28"/>
          <w:szCs w:val="28"/>
        </w:rPr>
        <w:lastRenderedPageBreak/>
        <w:t>while we can acknowledge both the weight of these concerns and the thoughtfulness of those persuaded of the need for regulation, rules that ban or punish speech based upon its content cannot be justified. An institution of higher learning fails to fulfill its mission if it asserts the power to proscribe ideas—and racial or ethnic slurs, sexist epithets, or homophobic insults almost always express ideas, however repugnant. Indeed, by proscribing any ideas, a university sets an example that profoundly disserves its academic mission.</w:t>
      </w:r>
    </w:p>
    <w:p w14:paraId="2064ECB9"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Some may seek to defend a distinction between the regulation of the content of speech and the regulation of the manner (or style) of speech. We find this distinction untenable in practice because offensive style or opprobrious phrases may in fact have been chosen precisely for their expressive power. As the United States Supreme Court has said in the course of rejecting criminal sanctions for offensive words:</w:t>
      </w:r>
    </w:p>
    <w:p w14:paraId="5ADA3D83" w14:textId="77777777" w:rsidR="0066373E" w:rsidRPr="0066373E" w:rsidRDefault="0066373E" w:rsidP="0066373E">
      <w:pPr>
        <w:jc w:val="both"/>
        <w:rPr>
          <w:rFonts w:ascii="Times New Roman" w:hAnsi="Times New Roman" w:cs="Times New Roman"/>
          <w:sz w:val="28"/>
          <w:szCs w:val="28"/>
        </w:rPr>
      </w:pPr>
      <w:r>
        <w:rPr>
          <w:rFonts w:ascii="Times New Roman" w:hAnsi="Times New Roman" w:cs="Times New Roman"/>
          <w:sz w:val="28"/>
          <w:szCs w:val="28"/>
        </w:rPr>
        <w:t xml:space="preserve">Words </w:t>
      </w:r>
      <w:r w:rsidRPr="0066373E">
        <w:rPr>
          <w:rFonts w:ascii="Times New Roman" w:hAnsi="Times New Roman" w:cs="Times New Roman"/>
          <w:sz w:val="28"/>
          <w:szCs w:val="28"/>
        </w:rPr>
        <w:t>are often chosen as much for their emotive as their cognitive force. We cannot sanction the view that the Constitution, while solicitous of the cognitive content of individual speech, has little or no regard for that emotive function which, practically speaking, may often be the more important element of the overall message sought to be communicated.</w:t>
      </w:r>
    </w:p>
    <w:p w14:paraId="0176AF4C"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The line between substance and style is thus too uncertain to sustain the pressure that will inevitably be brought to bear upon disciplinary rules that attempt to regulate speech.</w:t>
      </w:r>
    </w:p>
    <w:p w14:paraId="412FAEE1"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Proponents of speech codes sometimes reply that the value of emotive language of this type is of such a low order that, on balance, suppression is justified by the harm suffered by those who are directly affected, and by the general damage done to the learning environment. Yet a college or university sets a perilous course if it seeks to differentiate between high-value and low-value speech, or to choose which groups are to be protected by curbing the speech of others. A speech code unavoidably implies an institutional competence to distinguish permissible expression of hateful thought from what is proscribed as thoughtless hate.</w:t>
      </w:r>
    </w:p>
    <w:p w14:paraId="5D54D763"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Institutions would also have to justify shielding some, but not other, targets of offensive language—proscribing uncomplimentary references to sexual but not to political preference, to religious but not to philosophical creed, or perhaps even to some but not to other religious affiliations. Starting down this path creates an even greater risk that groups not originally protected may later demand similar solicitude—demands the institution that began the process of banning some speech is ill equipped to resist.</w:t>
      </w:r>
    </w:p>
    <w:p w14:paraId="1AD7DA9E"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lastRenderedPageBreak/>
        <w:t>Distinctions of this type are neither practicable nor principled; their very fragility underscores why institutions devoted to freedom of thought and expression ought not adopt an institutionalized coercion of silence.</w:t>
      </w:r>
    </w:p>
    <w:p w14:paraId="65EA9738"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Moreover, banning speech often avoids consideration of means more compatible with the mission of an academic institution by which to deal with incivility, intolerance, offensive speech, and harassing behavior:</w:t>
      </w:r>
    </w:p>
    <w:p w14:paraId="73B8258B"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 xml:space="preserve"> </w:t>
      </w:r>
      <w:r>
        <w:rPr>
          <w:rFonts w:ascii="Times New Roman" w:hAnsi="Times New Roman" w:cs="Times New Roman"/>
          <w:sz w:val="28"/>
          <w:szCs w:val="28"/>
        </w:rPr>
        <w:t>1.</w:t>
      </w:r>
      <w:r w:rsidRPr="0066373E">
        <w:rPr>
          <w:rFonts w:ascii="Times New Roman" w:hAnsi="Times New Roman" w:cs="Times New Roman"/>
          <w:sz w:val="28"/>
          <w:szCs w:val="28"/>
        </w:rPr>
        <w:t xml:space="preserve">   Institutions should adopt and invoke a range of measures that penalize conduct and behavior, rather than speech—such as rules against defacing property, physical intimidation or harassment, or disruption of campus activities. All members of the campus community should be made aware of such rules, and administrators should be ready to use them in preference to speech-directed sanctions.</w:t>
      </w:r>
    </w:p>
    <w:p w14:paraId="7A853C67" w14:textId="77777777" w:rsidR="0066373E" w:rsidRPr="0066373E" w:rsidRDefault="0066373E" w:rsidP="0066373E">
      <w:pPr>
        <w:jc w:val="both"/>
        <w:rPr>
          <w:rFonts w:ascii="Times New Roman" w:hAnsi="Times New Roman" w:cs="Times New Roman"/>
          <w:sz w:val="28"/>
          <w:szCs w:val="28"/>
        </w:rPr>
      </w:pPr>
      <w:r>
        <w:rPr>
          <w:rFonts w:ascii="Times New Roman" w:hAnsi="Times New Roman" w:cs="Times New Roman"/>
          <w:sz w:val="28"/>
          <w:szCs w:val="28"/>
        </w:rPr>
        <w:t>2.</w:t>
      </w:r>
      <w:r w:rsidRPr="0066373E">
        <w:rPr>
          <w:rFonts w:ascii="Times New Roman" w:hAnsi="Times New Roman" w:cs="Times New Roman"/>
          <w:sz w:val="28"/>
          <w:szCs w:val="28"/>
        </w:rPr>
        <w:t xml:space="preserve">    Colleges and universities should stress the means they use best—to educate—including the development of courses and other curricular and co-curricular experiences designed to increase student understanding and to deter offensive or intolerant speech or conduct. These institutions should, of course, be free (indeed encouraged) to condemn manifestations of intolerance and discrimination, whether physical or verbal.</w:t>
      </w:r>
    </w:p>
    <w:p w14:paraId="646B45CF" w14:textId="77777777" w:rsidR="0066373E" w:rsidRPr="0066373E" w:rsidRDefault="0066373E" w:rsidP="0066373E">
      <w:pPr>
        <w:jc w:val="both"/>
        <w:rPr>
          <w:rFonts w:ascii="Times New Roman" w:hAnsi="Times New Roman" w:cs="Times New Roman"/>
          <w:sz w:val="28"/>
          <w:szCs w:val="28"/>
        </w:rPr>
      </w:pPr>
      <w:r>
        <w:rPr>
          <w:rFonts w:ascii="Times New Roman" w:hAnsi="Times New Roman" w:cs="Times New Roman"/>
          <w:sz w:val="28"/>
          <w:szCs w:val="28"/>
        </w:rPr>
        <w:t>3.</w:t>
      </w:r>
      <w:r w:rsidRPr="0066373E">
        <w:rPr>
          <w:rFonts w:ascii="Times New Roman" w:hAnsi="Times New Roman" w:cs="Times New Roman"/>
          <w:sz w:val="28"/>
          <w:szCs w:val="28"/>
        </w:rPr>
        <w:t xml:space="preserve">    The governing board and the administration have a special duty not only to set an outstanding example of tolerance, but also to challenge boldly and condemn immediately serious breaches of civility.</w:t>
      </w:r>
    </w:p>
    <w:p w14:paraId="026202ED" w14:textId="77777777" w:rsidR="0066373E" w:rsidRPr="0066373E" w:rsidRDefault="0066373E" w:rsidP="0066373E">
      <w:pPr>
        <w:jc w:val="both"/>
        <w:rPr>
          <w:rFonts w:ascii="Times New Roman" w:hAnsi="Times New Roman" w:cs="Times New Roman"/>
          <w:sz w:val="28"/>
          <w:szCs w:val="28"/>
        </w:rPr>
      </w:pPr>
      <w:r>
        <w:rPr>
          <w:rFonts w:ascii="Times New Roman" w:hAnsi="Times New Roman" w:cs="Times New Roman"/>
          <w:sz w:val="28"/>
          <w:szCs w:val="28"/>
        </w:rPr>
        <w:t>4.</w:t>
      </w:r>
      <w:r w:rsidRPr="0066373E">
        <w:rPr>
          <w:rFonts w:ascii="Times New Roman" w:hAnsi="Times New Roman" w:cs="Times New Roman"/>
          <w:sz w:val="28"/>
          <w:szCs w:val="28"/>
        </w:rPr>
        <w:t xml:space="preserve">    Members of the faculty, too, have a major role; their voices may be critical in condemning intolerance, and their actions may set examples for understanding, making clear to their students that civility and tolerance are hallmarks of educated men and women.</w:t>
      </w:r>
    </w:p>
    <w:p w14:paraId="0516E0B8" w14:textId="77777777" w:rsidR="0066373E" w:rsidRP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 xml:space="preserve"> </w:t>
      </w:r>
      <w:r>
        <w:rPr>
          <w:rFonts w:ascii="Times New Roman" w:hAnsi="Times New Roman" w:cs="Times New Roman"/>
          <w:sz w:val="28"/>
          <w:szCs w:val="28"/>
        </w:rPr>
        <w:t>5.</w:t>
      </w:r>
      <w:r w:rsidRPr="0066373E">
        <w:rPr>
          <w:rFonts w:ascii="Times New Roman" w:hAnsi="Times New Roman" w:cs="Times New Roman"/>
          <w:sz w:val="28"/>
          <w:szCs w:val="28"/>
        </w:rPr>
        <w:t xml:space="preserve">   Student-personnel administrators have in some ways the most demanding role of all, for hate speech occurs most often in dormitories, locker rooms, cafeterias, and student centers. Persons who guide this part of campus life should set high standards of their own for tolerance and should make unmistakably clear the harm that uncivil or intolerant speech inflicts.</w:t>
      </w:r>
    </w:p>
    <w:p w14:paraId="59B7A32C" w14:textId="77777777" w:rsidR="0066373E" w:rsidRDefault="0066373E" w:rsidP="0066373E">
      <w:pPr>
        <w:jc w:val="both"/>
        <w:rPr>
          <w:rFonts w:ascii="Times New Roman" w:hAnsi="Times New Roman" w:cs="Times New Roman"/>
          <w:sz w:val="28"/>
          <w:szCs w:val="28"/>
        </w:rPr>
      </w:pPr>
      <w:r w:rsidRPr="0066373E">
        <w:rPr>
          <w:rFonts w:ascii="Times New Roman" w:hAnsi="Times New Roman" w:cs="Times New Roman"/>
          <w:sz w:val="28"/>
          <w:szCs w:val="28"/>
        </w:rPr>
        <w:t xml:space="preserve">To some persons who support speech codes, measures like these—relying as they do on suasion rather than sanctions—may seem inadequate. But freedom of expression requires toleration of “ideas we hate,” as Justice Holmes put it. The underlying principle does not change because the demand is to silence a hateful speaker, or because it comes from within the academy. Free speech is not simply an </w:t>
      </w:r>
      <w:r w:rsidRPr="0066373E">
        <w:rPr>
          <w:rFonts w:ascii="Times New Roman" w:hAnsi="Times New Roman" w:cs="Times New Roman"/>
          <w:sz w:val="28"/>
          <w:szCs w:val="28"/>
        </w:rPr>
        <w:lastRenderedPageBreak/>
        <w:t>aspect of the educational enterprise to be weighed against other desirable ends. It is the very precondition of the academic enterprise itself.</w:t>
      </w:r>
    </w:p>
    <w:p w14:paraId="74FBC5E2" w14:textId="77777777" w:rsidR="0066373E" w:rsidRDefault="0066373E" w:rsidP="0066373E">
      <w:pPr>
        <w:jc w:val="both"/>
        <w:rPr>
          <w:rFonts w:ascii="Times New Roman" w:hAnsi="Times New Roman" w:cs="Times New Roman"/>
          <w:sz w:val="28"/>
          <w:szCs w:val="28"/>
        </w:rPr>
      </w:pPr>
    </w:p>
    <w:sectPr w:rsidR="0066373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36A65A" w14:textId="77777777" w:rsidR="00E22B80" w:rsidRDefault="00E22B80" w:rsidP="0066373E">
      <w:pPr>
        <w:spacing w:after="0" w:line="240" w:lineRule="auto"/>
      </w:pPr>
      <w:r>
        <w:separator/>
      </w:r>
    </w:p>
  </w:endnote>
  <w:endnote w:type="continuationSeparator" w:id="0">
    <w:p w14:paraId="439B9783" w14:textId="77777777" w:rsidR="00E22B80" w:rsidRDefault="00E22B80" w:rsidP="00663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8990509"/>
      <w:docPartObj>
        <w:docPartGallery w:val="Page Numbers (Bottom of Page)"/>
        <w:docPartUnique/>
      </w:docPartObj>
    </w:sdtPr>
    <w:sdtEndPr>
      <w:rPr>
        <w:noProof/>
      </w:rPr>
    </w:sdtEndPr>
    <w:sdtContent>
      <w:p w14:paraId="2045BE6F" w14:textId="77777777" w:rsidR="0066373E" w:rsidRDefault="0066373E">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2EA7597B" w14:textId="77777777" w:rsidR="0066373E" w:rsidRDefault="00663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4846E" w14:textId="77777777" w:rsidR="00E22B80" w:rsidRDefault="00E22B80" w:rsidP="0066373E">
      <w:pPr>
        <w:spacing w:after="0" w:line="240" w:lineRule="auto"/>
      </w:pPr>
      <w:r>
        <w:separator/>
      </w:r>
    </w:p>
  </w:footnote>
  <w:footnote w:type="continuationSeparator" w:id="0">
    <w:p w14:paraId="57AE96D9" w14:textId="77777777" w:rsidR="00E22B80" w:rsidRDefault="00E22B80" w:rsidP="006637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73E"/>
    <w:rsid w:val="0066373E"/>
    <w:rsid w:val="00C2781E"/>
    <w:rsid w:val="00C74748"/>
    <w:rsid w:val="00E22B80"/>
    <w:rsid w:val="00EC7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BA79F"/>
  <w15:chartTrackingRefBased/>
  <w15:docId w15:val="{668A29B1-798C-476F-B622-A5AFCFAE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7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73E"/>
  </w:style>
  <w:style w:type="paragraph" w:styleId="Footer">
    <w:name w:val="footer"/>
    <w:basedOn w:val="Normal"/>
    <w:link w:val="FooterChar"/>
    <w:uiPriority w:val="99"/>
    <w:unhideWhenUsed/>
    <w:rsid w:val="00663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73E"/>
  </w:style>
  <w:style w:type="character" w:customStyle="1" w:styleId="Heading1Char">
    <w:name w:val="Heading 1 Char"/>
    <w:basedOn w:val="DefaultParagraphFont"/>
    <w:link w:val="Heading1"/>
    <w:uiPriority w:val="9"/>
    <w:rsid w:val="00C7474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1155</Words>
  <Characters>6588</Characters>
  <Application>Microsoft Office Word</Application>
  <DocSecurity>0</DocSecurity>
  <Lines>54</Lines>
  <Paragraphs>15</Paragraphs>
  <ScaleCrop>false</ScaleCrop>
  <Company>Youngstown State University</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V Sisco</dc:creator>
  <cp:keywords/>
  <dc:description/>
  <cp:lastModifiedBy>Dolores V Sisco</cp:lastModifiedBy>
  <cp:revision>4</cp:revision>
  <dcterms:created xsi:type="dcterms:W3CDTF">2018-07-13T12:37:00Z</dcterms:created>
  <dcterms:modified xsi:type="dcterms:W3CDTF">2018-07-17T13:21:00Z</dcterms:modified>
</cp:coreProperties>
</file>